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09" w:rsidRDefault="004C2309" w:rsidP="009C3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30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975" cy="6477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F0A" w:rsidRPr="000E4F53" w:rsidRDefault="0021490B" w:rsidP="000E4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C3F0A" w:rsidRPr="000E4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F1A">
        <w:rPr>
          <w:rFonts w:ascii="Times New Roman" w:hAnsi="Times New Roman" w:cs="Times New Roman"/>
          <w:b/>
          <w:sz w:val="28"/>
          <w:szCs w:val="28"/>
        </w:rPr>
        <w:t>ВАСИЛЬЕВСК</w:t>
      </w:r>
      <w:r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  <w:r w:rsidR="009C3F0A" w:rsidRPr="000E4F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20A" w:rsidRPr="000E4F53" w:rsidRDefault="0021490B" w:rsidP="000E4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БЕЛОГОРСКОГО РАЙОНА РЕСПУБЛИКИ КРЫМ</w:t>
      </w:r>
    </w:p>
    <w:p w:rsidR="004C2309" w:rsidRDefault="004C2309" w:rsidP="000E4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309" w:rsidRDefault="000E4F53" w:rsidP="009C3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91BAB" w:rsidRPr="004C2309" w:rsidRDefault="00265EB1" w:rsidP="004C2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24.04.2019</w:t>
      </w:r>
      <w:r w:rsidR="00220F1A">
        <w:rPr>
          <w:rFonts w:ascii="Times New Roman" w:hAnsi="Times New Roman" w:cs="Times New Roman"/>
          <w:sz w:val="24"/>
          <w:szCs w:val="24"/>
        </w:rPr>
        <w:t>г.</w:t>
      </w:r>
      <w:r w:rsidR="00220F1A">
        <w:rPr>
          <w:rFonts w:ascii="Times New Roman" w:hAnsi="Times New Roman" w:cs="Times New Roman"/>
          <w:sz w:val="24"/>
          <w:szCs w:val="24"/>
        </w:rPr>
        <w:tab/>
      </w:r>
      <w:r w:rsidR="00220F1A">
        <w:rPr>
          <w:rFonts w:ascii="Times New Roman" w:hAnsi="Times New Roman" w:cs="Times New Roman"/>
          <w:sz w:val="24"/>
          <w:szCs w:val="24"/>
        </w:rPr>
        <w:tab/>
      </w:r>
      <w:r w:rsidR="00220F1A">
        <w:rPr>
          <w:rFonts w:ascii="Times New Roman" w:hAnsi="Times New Roman" w:cs="Times New Roman"/>
          <w:sz w:val="24"/>
          <w:szCs w:val="24"/>
        </w:rPr>
        <w:tab/>
      </w:r>
      <w:r w:rsidR="00220F1A">
        <w:rPr>
          <w:rFonts w:ascii="Times New Roman" w:hAnsi="Times New Roman" w:cs="Times New Roman"/>
          <w:sz w:val="24"/>
          <w:szCs w:val="24"/>
        </w:rPr>
        <w:tab/>
      </w:r>
      <w:r w:rsidR="00220F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0F1A">
        <w:rPr>
          <w:rFonts w:ascii="Times New Roman" w:hAnsi="Times New Roman" w:cs="Times New Roman"/>
          <w:sz w:val="24"/>
          <w:szCs w:val="24"/>
        </w:rPr>
        <w:t>с.Васильевка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№73</w:t>
      </w:r>
    </w:p>
    <w:p w:rsidR="0041653D" w:rsidRDefault="0041653D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Об утверждении муниципальной целевой программы «Охрана окружающей среды в </w:t>
      </w:r>
      <w:r w:rsidR="0022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Васильевск</w:t>
      </w:r>
      <w:r w:rsidR="009573BF" w:rsidRPr="00957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ом</w:t>
      </w:r>
      <w:r w:rsidRPr="00862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сельском поселении </w:t>
      </w:r>
      <w:r w:rsidR="00416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района Республики Крым на 201</w:t>
      </w:r>
      <w:r w:rsidR="009573BF" w:rsidRPr="00957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9</w:t>
      </w:r>
      <w:r w:rsidRPr="00862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-202</w:t>
      </w:r>
      <w:r w:rsidR="009573BF" w:rsidRPr="00957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</w:t>
      </w:r>
      <w:r w:rsidRPr="00862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годы»</w:t>
      </w:r>
    </w:p>
    <w:p w:rsidR="00A5258B" w:rsidRPr="00A6463D" w:rsidRDefault="00A5258B" w:rsidP="00A52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95B" w:rsidRDefault="00862A41" w:rsidP="00EC7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соответствии со статьей 14 Федерального закона Российской Федерации от 06.10.2003 года № 131-ФЗ «Об общих принципах организации местного самоуправления в Российской Федерации», руководствуясь Уставом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Крым, в целях улучшения экологического состояния территории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="009573BF"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Крым, Администрация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="009573BF"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сельского поселения</w:t>
      </w:r>
    </w:p>
    <w:p w:rsidR="00862A41" w:rsidRPr="00EC795B" w:rsidRDefault="00862A41" w:rsidP="00EC79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95B" w:rsidRDefault="00EC795B" w:rsidP="00EC795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C795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C795B" w:rsidRPr="00EC795B" w:rsidRDefault="00EC795B" w:rsidP="00EC79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1. Утвердить муниципальную целевую программу «Охрана окружающей среды в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ом 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сельском поселении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на 201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-202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годы» (Приложение № 1).</w:t>
      </w:r>
    </w:p>
    <w:p w:rsidR="00862A41" w:rsidRDefault="00862A41" w:rsidP="00862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2. Установить, что в ходе реализации муниципальной целевой программы «Охрана окружающей среды в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ом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сельском поселении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на 201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-202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годы ежегодной корректировке подлежат мероприятия и объемы их финансирования с учетом возможностей средств бюджета поселения.</w:t>
      </w:r>
    </w:p>
    <w:p w:rsidR="00A41D49" w:rsidRDefault="00A41D49" w:rsidP="00862A4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1D49">
        <w:rPr>
          <w:rFonts w:ascii="Times New Roman" w:hAnsi="Times New Roman" w:cs="Times New Roman"/>
          <w:sz w:val="24"/>
          <w:szCs w:val="24"/>
        </w:rPr>
        <w:t xml:space="preserve">3. </w:t>
      </w:r>
      <w:r w:rsidR="0041653D">
        <w:rPr>
          <w:rFonts w:ascii="Times New Roman" w:hAnsi="Times New Roman" w:cs="Times New Roman"/>
          <w:iCs/>
          <w:sz w:val="24"/>
          <w:szCs w:val="24"/>
        </w:rPr>
        <w:t>Обнародовать настоящее</w:t>
      </w:r>
      <w:r w:rsidRPr="00A41D49">
        <w:rPr>
          <w:rFonts w:ascii="Times New Roman" w:hAnsi="Times New Roman" w:cs="Times New Roman"/>
          <w:iCs/>
          <w:sz w:val="24"/>
          <w:szCs w:val="24"/>
        </w:rPr>
        <w:t xml:space="preserve"> постановление </w:t>
      </w:r>
      <w:r w:rsidR="0041653D">
        <w:rPr>
          <w:rFonts w:ascii="Times New Roman" w:hAnsi="Times New Roman" w:cs="Times New Roman"/>
          <w:iCs/>
          <w:sz w:val="24"/>
          <w:szCs w:val="24"/>
        </w:rPr>
        <w:t>в соответствии с Уставом муниципального образования.</w:t>
      </w:r>
    </w:p>
    <w:p w:rsidR="00EC795B" w:rsidRPr="00A41D49" w:rsidRDefault="00EC795B" w:rsidP="00EC7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C795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</w:t>
      </w:r>
      <w:r w:rsidR="0041653D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EC795B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A41D49" w:rsidRPr="00A41D49" w:rsidRDefault="00EC795B" w:rsidP="00EC7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41D49" w:rsidRPr="00A41D49">
        <w:rPr>
          <w:rFonts w:ascii="Times New Roman" w:hAnsi="Times New Roman" w:cs="Times New Roman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E96F3A" w:rsidRPr="00C94033" w:rsidRDefault="00E96F3A" w:rsidP="00A41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58B" w:rsidRDefault="00A5258B" w:rsidP="00E96F3A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3D" w:rsidRDefault="0041653D" w:rsidP="00E96F3A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3D" w:rsidRDefault="0041653D" w:rsidP="00E96F3A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F3A" w:rsidRDefault="00E96F3A" w:rsidP="00E96F3A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20F1A">
        <w:rPr>
          <w:rFonts w:ascii="Times New Roman" w:hAnsi="Times New Roman" w:cs="Times New Roman"/>
          <w:sz w:val="24"/>
          <w:szCs w:val="24"/>
        </w:rPr>
        <w:t>Васильевск</w:t>
      </w:r>
      <w:r>
        <w:rPr>
          <w:rFonts w:ascii="Times New Roman" w:hAnsi="Times New Roman" w:cs="Times New Roman"/>
          <w:sz w:val="24"/>
          <w:szCs w:val="24"/>
        </w:rPr>
        <w:t>ого</w:t>
      </w:r>
    </w:p>
    <w:p w:rsidR="0090032F" w:rsidRDefault="00E96F3A" w:rsidP="00E96F3A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032F" w:rsidSect="00F970FE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F7509">
        <w:rPr>
          <w:rFonts w:ascii="Times New Roman" w:hAnsi="Times New Roman" w:cs="Times New Roman"/>
          <w:sz w:val="24"/>
          <w:szCs w:val="24"/>
        </w:rPr>
        <w:tab/>
      </w:r>
      <w:r w:rsidR="00FF7509">
        <w:rPr>
          <w:rFonts w:ascii="Times New Roman" w:hAnsi="Times New Roman" w:cs="Times New Roman"/>
          <w:sz w:val="24"/>
          <w:szCs w:val="24"/>
        </w:rPr>
        <w:tab/>
      </w:r>
      <w:r w:rsidR="00FF7509">
        <w:rPr>
          <w:rFonts w:ascii="Times New Roman" w:hAnsi="Times New Roman" w:cs="Times New Roman"/>
          <w:sz w:val="24"/>
          <w:szCs w:val="24"/>
        </w:rPr>
        <w:tab/>
      </w:r>
      <w:r w:rsidR="00FF7509">
        <w:rPr>
          <w:rFonts w:ascii="Times New Roman" w:hAnsi="Times New Roman" w:cs="Times New Roman"/>
          <w:sz w:val="24"/>
          <w:szCs w:val="24"/>
        </w:rPr>
        <w:tab/>
      </w:r>
      <w:r w:rsidR="00FF7509">
        <w:rPr>
          <w:rFonts w:ascii="Times New Roman" w:hAnsi="Times New Roman" w:cs="Times New Roman"/>
          <w:sz w:val="24"/>
          <w:szCs w:val="24"/>
        </w:rPr>
        <w:tab/>
      </w:r>
      <w:r w:rsidR="00FF7509">
        <w:rPr>
          <w:rFonts w:ascii="Times New Roman" w:hAnsi="Times New Roman" w:cs="Times New Roman"/>
          <w:sz w:val="24"/>
          <w:szCs w:val="24"/>
        </w:rPr>
        <w:tab/>
      </w:r>
      <w:r w:rsidR="00FF7509">
        <w:rPr>
          <w:rFonts w:ascii="Times New Roman" w:hAnsi="Times New Roman" w:cs="Times New Roman"/>
          <w:sz w:val="24"/>
          <w:szCs w:val="24"/>
        </w:rPr>
        <w:tab/>
      </w:r>
      <w:r w:rsidR="00025357">
        <w:rPr>
          <w:rFonts w:ascii="Times New Roman" w:hAnsi="Times New Roman" w:cs="Times New Roman"/>
          <w:sz w:val="24"/>
          <w:szCs w:val="24"/>
        </w:rPr>
        <w:t xml:space="preserve">В.Д. </w:t>
      </w:r>
      <w:proofErr w:type="spellStart"/>
      <w:r w:rsidR="00025357"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</w:p>
    <w:p w:rsidR="0090032F" w:rsidRPr="0090032F" w:rsidRDefault="0090032F" w:rsidP="00900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32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0032F" w:rsidRPr="00FD147F" w:rsidRDefault="0090032F" w:rsidP="00900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Паспорт</w:t>
      </w: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муниципальной целевой программы «Охрана окружающей среды в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ом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сельском поселении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на 201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-202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годы»</w:t>
      </w:r>
    </w:p>
    <w:p w:rsidR="00862A41" w:rsidRPr="00862A41" w:rsidRDefault="00862A41" w:rsidP="00862A41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целевая программа «Охрана окружающей среды в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9B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9B276A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сельском поселении </w:t>
            </w:r>
            <w:r w:rsidR="0041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Белогорского</w:t>
            </w:r>
            <w:r w:rsidR="009B276A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района Республики Крым на 2018-2020 годы»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Основания разработки муниципальной 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от 06.10.2003 года № 131- ФЗ «Об общих принципах организации местного самоуправления в Российской Федерации»;</w:t>
            </w:r>
          </w:p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от 01.01.2002 года № 7-ФЗ «Об охране окружающей среды»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Заказчик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862A41" w:rsidRPr="00862A41" w:rsidRDefault="00862A41" w:rsidP="009B276A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9B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r w:rsidR="0041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Белогорского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Республики Крым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Разработчик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9B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9B276A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сельского поселения </w:t>
            </w:r>
            <w:r w:rsidR="0041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Белогорского</w:t>
            </w:r>
            <w:r w:rsidR="009B276A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района Республики Крым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9B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9B276A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сельского поселения </w:t>
            </w:r>
            <w:r w:rsidR="0041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Белогорского</w:t>
            </w:r>
            <w:r w:rsidR="009B276A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района Республики Крым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9B276A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Формирование устойчивой экологической среды для устойчивого социально-экономического развития муниципального образования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9B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ое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сельское поселение </w:t>
            </w:r>
            <w:r w:rsidR="0041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Белогорского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Республики Крым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Охрана окружающей среды муниципального образования сельского поселения</w:t>
            </w:r>
          </w:p>
          <w:p w:rsidR="00862A41" w:rsidRPr="00862A41" w:rsidRDefault="00862A41" w:rsidP="00C35B5E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деятельности по </w:t>
            </w:r>
            <w:r w:rsidR="00C3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уборке и вывозу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твердых коммунальных отходов на территории населённых пунктов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19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19670B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сельского поселения </w:t>
            </w:r>
            <w:r w:rsidR="0041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Белогорского</w:t>
            </w:r>
            <w:r w:rsidR="0019670B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района Республики Крым.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19670B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 w:rsidR="0019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 w:rsidR="0019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годы.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Объем финансирования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C35B5E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150,0 тыс. руб.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Озеленение населенных пунктов муниципального образования.</w:t>
            </w:r>
          </w:p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Создание муниципальной системы мониторинга окружающей среды.</w:t>
            </w:r>
          </w:p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Экологическое образование воспитание населения, проведение экологических акций. </w:t>
            </w:r>
          </w:p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и охрана особо охраняемых природных территорий местного значения. </w:t>
            </w:r>
          </w:p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Совершенствовании системы обращения с твердыми коммунальными отходам.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экологической безопасности населения.</w:t>
            </w:r>
          </w:p>
        </w:tc>
      </w:tr>
    </w:tbl>
    <w:p w:rsidR="00862A41" w:rsidRPr="00862A41" w:rsidRDefault="00862A41" w:rsidP="00862A41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 w:type="page"/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1. Общие положения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Муниципальная целевая программа «Охрана окружающей среды в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A4287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ом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сельском поселении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на 201</w:t>
      </w:r>
      <w:r w:rsidR="00A4287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- 202</w:t>
      </w:r>
      <w:r w:rsidR="00A4287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годы» (далее по тексту – Программа), разработана с целью реализации основных принципов экологической политики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01.01.2002 года № 7-ФЗ «Об охране окружающей среды» и другими нормативными правовыми актами.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Настоящая Программа является основным базовым документом для разработки планов, программ и проектов обеспечения экологической безопасности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A4287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в целом в области природопользования и охраны окружающей среды на период 201</w:t>
      </w:r>
      <w:r w:rsidR="00A4287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–202</w:t>
      </w:r>
      <w:r w:rsidR="00A4287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годы. Программа сформирована из мероприятий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A4287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Крым, связанных с окружающей средой.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Программа основана на принципе единого управления и координации деятельности всех организаций, учреждений и предприятий поселения, участвующих в ее реализации.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Система управления Программой позволяет обеспечивать анализ выполнения мероприятий, а также принимать оперативные меры по их корректировке.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 Цели и задачи Программы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Цели Программы: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Формирование устойчивой экологической среды для устойчивого социально-экономического развития муниципального образования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8155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ое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сельское поселение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Основные задачи Программы: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Охрана окружающей среды муниципального образования сельского поселения;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Организация деятельности по </w:t>
      </w:r>
      <w:r w:rsidR="008F16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уборке и вывозу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твердых коммунальных отходов на территории населённых пунктов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8155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 Экономическая составляющая программы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Финансовое обеспечение мероприятий предусмотрено за счет средств бюджета поселения, а также внебюджетных инвестиций и средств предприятий, расположенных на территории поселения. Программа подлежит финансированию за счет средств бюджетов поселения и района, установленных решениями о бюджете на следующий финансовый год.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 Управление программой и контроль за ее реализацией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Программа предусматривает персональную ответственность исполнителей за выполнение мероприятий.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Реализация Программы обеспечивается комплексом мероприятий по правовому, организационному, финансовому и информационному обеспечению.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 Перечень мероприятий программы.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Озеленение населенных пунктов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В Правилах по благоустройству на территории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8F16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один из разделов посвящен озеленению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8F16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поселения, где отражены основные мероприятия по видам озеленения и определены зоны особо охраняемых природных территорий. Реализация мероприятий программы позволит увеличить количество зеленых насаждений, улучшить санитарное состояние территорий населенных пунктов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EA51D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Крым, позволит создать новые зоны зеленых насаждений.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 Создание муниципальной системы мониторинга окружающей среды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 стороны органов муниципального образования сельского поселения организовать направление в органы государственной власти, уполномоченные на осуществление государственного контроля (надзора), и правоохранительные органы информации о нарушении нормативов в области охраны окружающей среды вследствие воздействия природных и (или) антропогенных факторов и предложений об устранении таких нарушений.</w:t>
      </w:r>
    </w:p>
    <w:p w:rsidR="00862A41" w:rsidRPr="00862A41" w:rsidRDefault="00862A41" w:rsidP="00EA51D8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EA51D8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862A41"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Экологическое о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бразование воспитание населения</w:t>
      </w:r>
      <w:r w:rsidR="00862A41"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62A41"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проведение экологических акций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Актуальность комплексных проблем экологии, объективная потребность их разрешения ставит новые задачи экологического воспитания и образования детей на современном этапе взаимодействия общества и природы, нельзя ограничиваться только развитием чувства любви к природе у каждого человека. Главным является воспитание ответственности за состояние природной среды.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Непрерывность, преемственностью экологического воспитания и образования детей в детском саду, школе необходимы для формирования целостного восприятия среды, бережного отношения к природе. Дошкольное детство является наиболее естественным временем приобщения детей к экологическому образованию. Учитывая это, педагоги </w:t>
      </w:r>
      <w:r w:rsidRPr="00265E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проводят занятия в </w:t>
      </w:r>
      <w:r w:rsidR="009C164E" w:rsidRPr="00265EB1">
        <w:rPr>
          <w:rFonts w:ascii="Times New Roman" w:hAnsi="Times New Roman" w:cs="Times New Roman"/>
          <w:sz w:val="24"/>
          <w:szCs w:val="24"/>
        </w:rPr>
        <w:t>МБ</w:t>
      </w:r>
      <w:r w:rsidR="00265EB1" w:rsidRPr="00265EB1">
        <w:rPr>
          <w:rFonts w:ascii="Times New Roman" w:hAnsi="Times New Roman" w:cs="Times New Roman"/>
          <w:sz w:val="24"/>
          <w:szCs w:val="24"/>
        </w:rPr>
        <w:t>Д</w:t>
      </w:r>
      <w:r w:rsidR="009C164E" w:rsidRPr="00265EB1">
        <w:rPr>
          <w:rFonts w:ascii="Times New Roman" w:hAnsi="Times New Roman" w:cs="Times New Roman"/>
          <w:sz w:val="24"/>
          <w:szCs w:val="24"/>
        </w:rPr>
        <w:t xml:space="preserve">ОУ «Детский сад </w:t>
      </w:r>
      <w:r w:rsidR="00025357" w:rsidRPr="00265EB1">
        <w:rPr>
          <w:rFonts w:ascii="Times New Roman" w:hAnsi="Times New Roman" w:cs="Times New Roman"/>
          <w:sz w:val="24"/>
          <w:szCs w:val="24"/>
        </w:rPr>
        <w:t>«Василек»</w:t>
      </w:r>
      <w:r w:rsidR="009C164E" w:rsidRPr="00265EB1">
        <w:rPr>
          <w:rFonts w:ascii="Times New Roman" w:hAnsi="Times New Roman" w:cs="Times New Roman"/>
          <w:sz w:val="24"/>
          <w:szCs w:val="24"/>
        </w:rPr>
        <w:t xml:space="preserve"> с. </w:t>
      </w:r>
      <w:r w:rsidR="00265EB1">
        <w:rPr>
          <w:rFonts w:ascii="Times New Roman" w:hAnsi="Times New Roman" w:cs="Times New Roman"/>
          <w:sz w:val="24"/>
          <w:szCs w:val="24"/>
        </w:rPr>
        <w:t>Васильев</w:t>
      </w:r>
      <w:r w:rsidR="00220F1A" w:rsidRPr="00265EB1">
        <w:rPr>
          <w:rFonts w:ascii="Times New Roman" w:hAnsi="Times New Roman" w:cs="Times New Roman"/>
          <w:sz w:val="24"/>
          <w:szCs w:val="24"/>
        </w:rPr>
        <w:t>к</w:t>
      </w:r>
      <w:r w:rsidR="00265EB1">
        <w:rPr>
          <w:rFonts w:ascii="Times New Roman" w:hAnsi="Times New Roman" w:cs="Times New Roman"/>
          <w:sz w:val="24"/>
          <w:szCs w:val="24"/>
        </w:rPr>
        <w:t>а»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цикл мероприятий направленный на изучение окружающей среды, прогулки на природу, конкурсы рисунков на тему «Берегите природу».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5E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="0096309B" w:rsidRPr="00265EB1">
        <w:rPr>
          <w:rFonts w:ascii="Times New Roman" w:hAnsi="Times New Roman" w:cs="Times New Roman"/>
          <w:sz w:val="24"/>
          <w:szCs w:val="24"/>
        </w:rPr>
        <w:t>МБОУ «</w:t>
      </w:r>
      <w:r w:rsidR="00220F1A" w:rsidRPr="00265EB1">
        <w:rPr>
          <w:rFonts w:ascii="Times New Roman" w:hAnsi="Times New Roman" w:cs="Times New Roman"/>
          <w:sz w:val="24"/>
          <w:szCs w:val="24"/>
        </w:rPr>
        <w:t>Васильевск</w:t>
      </w:r>
      <w:r w:rsidR="0041653D" w:rsidRPr="00265EB1">
        <w:rPr>
          <w:rFonts w:ascii="Times New Roman" w:hAnsi="Times New Roman" w:cs="Times New Roman"/>
          <w:sz w:val="24"/>
          <w:szCs w:val="24"/>
        </w:rPr>
        <w:t>ая</w:t>
      </w:r>
      <w:r w:rsidR="0096309B" w:rsidRPr="00265EB1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96309B">
        <w:rPr>
          <w:sz w:val="28"/>
          <w:szCs w:val="16"/>
        </w:rPr>
        <w:t xml:space="preserve"> 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педагоги проводят занятия для учащихся «О вреде человека на окружающую природу». Таким образом, реализуется программа экологического образования в период наиболее важный для общего развития ребенка.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Организация экологических мероприятий и участие в них, является огромным вкладом в экологическое образование и воспитание детей.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Выполнение мероприятий программы позволит укрепить формирование экологической культуры детей, молодежи и взрослого населения.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EA51D8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862A41"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Создание и охрана особо охраняемых природных территорий местного значения.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 территории Республики Крым 22.10.2014 года Государственным Советом Республики Крым принят Закон Республики Крым «Об особо охраняемых природных территориях Республики Крым»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Настоящий Закон регулирует отношения в области организации, охраны и использования, особо охраняемых природных территорий Республики Крым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 В административных границах территории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96309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имеются памятники древних культур, которые входят в культурное наследие полуострова Крыма. По данным объектам 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проводится мониторинг со стороны администрации поселения, с целью недопущения нарушений существующей целостности объектов.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EA51D8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862A41"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Совершенствование системы обращения с твердыми коммунальными отходами</w:t>
      </w:r>
    </w:p>
    <w:p w:rsid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 территории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3A22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поселения, сбор и вывоз твердых бытовых отходов осуществляется по бестарной системе, вывоз отходов осуществляется </w:t>
      </w:r>
      <w:r w:rsidR="00265E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ООО «</w:t>
      </w:r>
      <w:proofErr w:type="spellStart"/>
      <w:r w:rsidR="00265E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Крымэкоресурс</w:t>
      </w:r>
      <w:proofErr w:type="spellEnd"/>
      <w:r w:rsidR="00265E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 утвержденной схеме. Данные мероприятия позволяют сформировать систему сбора и вывоза твердых бытовых отходов на территории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3A22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Крым, что способствует не накоплению мусора, улучшению санитарного состояния населенных пунктов и уменьшению негативного воздействия отходов на окружающую среду.</w:t>
      </w:r>
    </w:p>
    <w:p w:rsid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ectPr w:rsidR="00862A41" w:rsidSect="009003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Перечень мероприятий</w:t>
      </w:r>
      <w:bookmarkStart w:id="0" w:name="_GoBack"/>
      <w:bookmarkEnd w:id="0"/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 охране окружающей среды на территории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634B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на 201</w:t>
      </w:r>
      <w:r w:rsidR="00634B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-202</w:t>
      </w:r>
      <w:r w:rsidR="00634B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годы</w:t>
      </w:r>
    </w:p>
    <w:p w:rsidR="00862A41" w:rsidRPr="00862A41" w:rsidRDefault="00862A41" w:rsidP="00862A41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091"/>
        <w:gridCol w:w="40"/>
        <w:gridCol w:w="30"/>
        <w:gridCol w:w="2016"/>
        <w:gridCol w:w="44"/>
        <w:gridCol w:w="32"/>
        <w:gridCol w:w="2423"/>
        <w:gridCol w:w="1402"/>
        <w:gridCol w:w="29"/>
        <w:gridCol w:w="37"/>
        <w:gridCol w:w="9"/>
        <w:gridCol w:w="1983"/>
        <w:gridCol w:w="7"/>
        <w:gridCol w:w="55"/>
        <w:gridCol w:w="1040"/>
        <w:gridCol w:w="73"/>
        <w:gridCol w:w="1036"/>
        <w:gridCol w:w="184"/>
        <w:gridCol w:w="1038"/>
        <w:gridCol w:w="22"/>
      </w:tblGrid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91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 й исполнитель и соисполнитель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Цель мероприятия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862A41" w:rsidRPr="00862A41" w:rsidRDefault="00862A41" w:rsidP="00634BD0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руб. 201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862A41" w:rsidRPr="00862A41" w:rsidRDefault="00862A41" w:rsidP="00634BD0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руб. 20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862A41" w:rsidRPr="00862A41" w:rsidRDefault="00862A41" w:rsidP="00634BD0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руб. 202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12858" w:type="dxa"/>
            <w:gridSpan w:val="16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1.Озеленение населенных пунктов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091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Сохранение и развитие зеленых зон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634BD0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Улучшение зеленого фонда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862A41" w:rsidRPr="00862A41" w:rsidRDefault="00634BD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г.г</w:t>
            </w:r>
            <w:proofErr w:type="spellEnd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862A41" w:rsidRPr="00014410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бюджета поселения, другие источники финансирования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862A41" w:rsidRPr="00195BD2" w:rsidRDefault="0001441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862A41" w:rsidRPr="00195BD2" w:rsidRDefault="0001441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1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862A41" w:rsidRPr="00195BD2" w:rsidRDefault="0001441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1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113,0</w:t>
            </w:r>
          </w:p>
        </w:tc>
      </w:tr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15189" w:type="dxa"/>
            <w:gridSpan w:val="20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Создание муниципальной системы мониторинга окружающей среды</w:t>
            </w:r>
          </w:p>
        </w:tc>
      </w:tr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91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Выявление и фиксирование информации о загрязнении окружающей среды для последующей передачи в уполномоченные органы в области охраны окружающей среды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634BD0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Улучшения состояния окружающей среды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862A41" w:rsidRPr="00862A41" w:rsidRDefault="00634BD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г.г</w:t>
            </w:r>
            <w:proofErr w:type="spellEnd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168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15189" w:type="dxa"/>
            <w:gridSpan w:val="20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 Ликвидация накопленного экологического ущерба</w:t>
            </w:r>
          </w:p>
        </w:tc>
      </w:tr>
      <w:tr w:rsidR="00862A41" w:rsidRPr="00862A41" w:rsidTr="00C2487C">
        <w:trPr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Мониторинг мест скопления экологических отходов на предприятиях ранее осуществляющих производственную деятельность на территории поселения.</w:t>
            </w:r>
          </w:p>
        </w:tc>
        <w:tc>
          <w:tcPr>
            <w:tcW w:w="2090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634BD0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Недопущение скопления и концентрации вредных для экологии веществ и материалов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62A41" w:rsidRPr="00862A41" w:rsidRDefault="00634BD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г.г</w:t>
            </w:r>
            <w:proofErr w:type="spellEnd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2A41" w:rsidRPr="00862A41" w:rsidTr="00C2487C">
        <w:trPr>
          <w:trHeight w:val="284"/>
        </w:trPr>
        <w:tc>
          <w:tcPr>
            <w:tcW w:w="15211" w:type="dxa"/>
            <w:gridSpan w:val="21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 Экологическое образование воспитание населения, проведение экологических акций</w:t>
            </w:r>
          </w:p>
        </w:tc>
      </w:tr>
      <w:tr w:rsidR="00862A41" w:rsidRPr="00862A41" w:rsidTr="00C2487C">
        <w:trPr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Изготовление информационных стендов, проведение мероприятий по защите окружающей среды среди дошкольников, школьников, и т. д.</w:t>
            </w:r>
          </w:p>
        </w:tc>
        <w:tc>
          <w:tcPr>
            <w:tcW w:w="2090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634BD0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Улучшение состояния зеленого фонда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62A41" w:rsidRPr="00862A41" w:rsidRDefault="00634BD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г.г</w:t>
            </w:r>
            <w:proofErr w:type="spellEnd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другие источники финансирования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62A41" w:rsidRPr="00862A41" w:rsidTr="00C2487C">
        <w:trPr>
          <w:trHeight w:val="284"/>
        </w:trPr>
        <w:tc>
          <w:tcPr>
            <w:tcW w:w="14151" w:type="dxa"/>
            <w:gridSpan w:val="19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5.Создание и охрана особо охраняемых природных территорий местного значения.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2A41" w:rsidRPr="00862A41" w:rsidTr="00C2487C">
        <w:trPr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Мониторинг объектов культурного наследия находящихся в административных границах поселения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634BD0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23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Недопущение фактов вандализма по объектам культурного наследия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862A41" w:rsidRPr="00862A41" w:rsidRDefault="00634BD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г.г</w:t>
            </w:r>
            <w:proofErr w:type="spellEnd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1" w:type="dxa"/>
            <w:gridSpan w:val="5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2A41" w:rsidRPr="00862A41" w:rsidTr="00C2487C">
        <w:trPr>
          <w:trHeight w:val="284"/>
        </w:trPr>
        <w:tc>
          <w:tcPr>
            <w:tcW w:w="15211" w:type="dxa"/>
            <w:gridSpan w:val="21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6.Совершенствование системы обращения с твердыми коммунальными отходами.</w:t>
            </w:r>
          </w:p>
        </w:tc>
      </w:tr>
      <w:tr w:rsidR="00862A41" w:rsidRPr="00862A41" w:rsidTr="00C2487C">
        <w:trPr>
          <w:trHeight w:val="24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сбора ТБО у населения в поселении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634BD0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23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Недопущение образования несанкционированных свалок в границах поселения</w:t>
            </w:r>
          </w:p>
        </w:tc>
        <w:tc>
          <w:tcPr>
            <w:tcW w:w="1402" w:type="dxa"/>
            <w:shd w:val="clear" w:color="auto" w:fill="auto"/>
          </w:tcPr>
          <w:p w:rsidR="00862A41" w:rsidRPr="00862A41" w:rsidRDefault="00862A41" w:rsidP="00634BD0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г.г</w:t>
            </w:r>
            <w:proofErr w:type="spellEnd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0" w:type="dxa"/>
            <w:gridSpan w:val="6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62A41" w:rsidRPr="00862A41" w:rsidRDefault="00862A41" w:rsidP="00862A41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ectPr w:rsidR="00862A41" w:rsidRPr="00862A41" w:rsidSect="00862A41">
          <w:pgSz w:w="16848" w:h="11928" w:orient="landscape"/>
          <w:pgMar w:top="1440" w:right="1080" w:bottom="1440" w:left="1080" w:header="720" w:footer="720" w:gutter="0"/>
          <w:cols w:space="720"/>
        </w:sectPr>
      </w:pPr>
    </w:p>
    <w:p w:rsidR="00F610F6" w:rsidRDefault="00F610F6" w:rsidP="0086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10F6" w:rsidSect="00862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0A"/>
    <w:rsid w:val="00014410"/>
    <w:rsid w:val="00025357"/>
    <w:rsid w:val="00073E31"/>
    <w:rsid w:val="00074B7F"/>
    <w:rsid w:val="000957C9"/>
    <w:rsid w:val="000D70A5"/>
    <w:rsid w:val="000E4F53"/>
    <w:rsid w:val="00136E22"/>
    <w:rsid w:val="00187F21"/>
    <w:rsid w:val="00195BD2"/>
    <w:rsid w:val="0019670B"/>
    <w:rsid w:val="001B1440"/>
    <w:rsid w:val="00210E94"/>
    <w:rsid w:val="0021490B"/>
    <w:rsid w:val="00220F1A"/>
    <w:rsid w:val="00251850"/>
    <w:rsid w:val="00265EB1"/>
    <w:rsid w:val="00271723"/>
    <w:rsid w:val="0029175F"/>
    <w:rsid w:val="002A6475"/>
    <w:rsid w:val="002E5DC4"/>
    <w:rsid w:val="00314DC7"/>
    <w:rsid w:val="0033202A"/>
    <w:rsid w:val="00395584"/>
    <w:rsid w:val="003A223A"/>
    <w:rsid w:val="003E418C"/>
    <w:rsid w:val="00407BD2"/>
    <w:rsid w:val="00411C92"/>
    <w:rsid w:val="0041653D"/>
    <w:rsid w:val="00441CA7"/>
    <w:rsid w:val="00466618"/>
    <w:rsid w:val="00482905"/>
    <w:rsid w:val="00492CDD"/>
    <w:rsid w:val="0049698E"/>
    <w:rsid w:val="004B0FFB"/>
    <w:rsid w:val="004C1F0F"/>
    <w:rsid w:val="004C2309"/>
    <w:rsid w:val="004F675C"/>
    <w:rsid w:val="00501353"/>
    <w:rsid w:val="00503E84"/>
    <w:rsid w:val="00552366"/>
    <w:rsid w:val="005553E8"/>
    <w:rsid w:val="005C49F9"/>
    <w:rsid w:val="00611381"/>
    <w:rsid w:val="00622B16"/>
    <w:rsid w:val="00622BAE"/>
    <w:rsid w:val="00634BD0"/>
    <w:rsid w:val="00650CAE"/>
    <w:rsid w:val="00672CDA"/>
    <w:rsid w:val="006B2B70"/>
    <w:rsid w:val="006B72E5"/>
    <w:rsid w:val="006F3E44"/>
    <w:rsid w:val="0071620A"/>
    <w:rsid w:val="00771FBE"/>
    <w:rsid w:val="007A4706"/>
    <w:rsid w:val="007B7229"/>
    <w:rsid w:val="007E18B2"/>
    <w:rsid w:val="007E1D7C"/>
    <w:rsid w:val="00805C3A"/>
    <w:rsid w:val="00807247"/>
    <w:rsid w:val="0081553E"/>
    <w:rsid w:val="00842559"/>
    <w:rsid w:val="008452E3"/>
    <w:rsid w:val="00862A41"/>
    <w:rsid w:val="0086357E"/>
    <w:rsid w:val="00876F85"/>
    <w:rsid w:val="00885BE1"/>
    <w:rsid w:val="00894F24"/>
    <w:rsid w:val="008C2336"/>
    <w:rsid w:val="008C5DF7"/>
    <w:rsid w:val="008D4EF6"/>
    <w:rsid w:val="008F16A9"/>
    <w:rsid w:val="0090032F"/>
    <w:rsid w:val="00954261"/>
    <w:rsid w:val="009573BF"/>
    <w:rsid w:val="0096309B"/>
    <w:rsid w:val="009B276A"/>
    <w:rsid w:val="009C164E"/>
    <w:rsid w:val="009C3F0A"/>
    <w:rsid w:val="009C701E"/>
    <w:rsid w:val="00A1347E"/>
    <w:rsid w:val="00A41D49"/>
    <w:rsid w:val="00A4287B"/>
    <w:rsid w:val="00A5258B"/>
    <w:rsid w:val="00A63DE6"/>
    <w:rsid w:val="00A66E06"/>
    <w:rsid w:val="00A70488"/>
    <w:rsid w:val="00A84941"/>
    <w:rsid w:val="00A91BAB"/>
    <w:rsid w:val="00A92830"/>
    <w:rsid w:val="00AA3220"/>
    <w:rsid w:val="00B022B9"/>
    <w:rsid w:val="00B039BE"/>
    <w:rsid w:val="00B30C2C"/>
    <w:rsid w:val="00B5130A"/>
    <w:rsid w:val="00B60A69"/>
    <w:rsid w:val="00B61A17"/>
    <w:rsid w:val="00B70420"/>
    <w:rsid w:val="00B7228C"/>
    <w:rsid w:val="00B736CF"/>
    <w:rsid w:val="00B75448"/>
    <w:rsid w:val="00B95F9F"/>
    <w:rsid w:val="00BD2A0C"/>
    <w:rsid w:val="00BD6102"/>
    <w:rsid w:val="00BE6CE1"/>
    <w:rsid w:val="00BF4403"/>
    <w:rsid w:val="00C14798"/>
    <w:rsid w:val="00C27791"/>
    <w:rsid w:val="00C35B5E"/>
    <w:rsid w:val="00C52D44"/>
    <w:rsid w:val="00C549DD"/>
    <w:rsid w:val="00C76323"/>
    <w:rsid w:val="00C96734"/>
    <w:rsid w:val="00CA15F6"/>
    <w:rsid w:val="00CC0B0B"/>
    <w:rsid w:val="00CD271B"/>
    <w:rsid w:val="00CE5648"/>
    <w:rsid w:val="00CE62BE"/>
    <w:rsid w:val="00CE6CE2"/>
    <w:rsid w:val="00CF20B9"/>
    <w:rsid w:val="00CF3E00"/>
    <w:rsid w:val="00D403DE"/>
    <w:rsid w:val="00D40DFC"/>
    <w:rsid w:val="00D41CA8"/>
    <w:rsid w:val="00D47B9A"/>
    <w:rsid w:val="00D93F06"/>
    <w:rsid w:val="00DA7435"/>
    <w:rsid w:val="00DD520F"/>
    <w:rsid w:val="00DE060C"/>
    <w:rsid w:val="00E457A4"/>
    <w:rsid w:val="00E7390A"/>
    <w:rsid w:val="00E83A93"/>
    <w:rsid w:val="00E96F3A"/>
    <w:rsid w:val="00EA51D8"/>
    <w:rsid w:val="00EC795B"/>
    <w:rsid w:val="00ED0BD6"/>
    <w:rsid w:val="00F11F08"/>
    <w:rsid w:val="00F610F6"/>
    <w:rsid w:val="00F66A3F"/>
    <w:rsid w:val="00F7270B"/>
    <w:rsid w:val="00F970FE"/>
    <w:rsid w:val="00FD147F"/>
    <w:rsid w:val="00FD558C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qFormat/>
    <w:rsid w:val="00F970FE"/>
    <w:rPr>
      <w:b/>
      <w:bCs/>
    </w:rPr>
  </w:style>
  <w:style w:type="character" w:styleId="a7">
    <w:name w:val="Hyperlink"/>
    <w:rsid w:val="00A41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qFormat/>
    <w:rsid w:val="00F970FE"/>
    <w:rPr>
      <w:b/>
      <w:bCs/>
    </w:rPr>
  </w:style>
  <w:style w:type="character" w:styleId="a7">
    <w:name w:val="Hyperlink"/>
    <w:rsid w:val="00A41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19E1-C84D-406D-8E63-70D70D6C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Секретарь</cp:lastModifiedBy>
  <cp:revision>3</cp:revision>
  <cp:lastPrinted>2019-04-30T11:59:00Z</cp:lastPrinted>
  <dcterms:created xsi:type="dcterms:W3CDTF">2019-04-29T08:03:00Z</dcterms:created>
  <dcterms:modified xsi:type="dcterms:W3CDTF">2019-04-30T12:00:00Z</dcterms:modified>
</cp:coreProperties>
</file>