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4825" cy="5715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/>
      </w:pPr>
      <w:r>
        <w:rPr/>
        <w:t>АДМИНИСТРАЦИЯ</w:t>
      </w:r>
    </w:p>
    <w:p>
      <w:pPr>
        <w:pStyle w:val="Normal"/>
        <w:spacing w:lineRule="atLeast" w:line="100"/>
        <w:jc w:val="center"/>
        <w:rPr/>
      </w:pPr>
      <w:r>
        <w:rPr/>
        <w:t>Васильевского сельского поселения</w:t>
      </w:r>
    </w:p>
    <w:p>
      <w:pPr>
        <w:pStyle w:val="Normal"/>
        <w:spacing w:lineRule="atLeast" w:line="100"/>
        <w:jc w:val="center"/>
        <w:rPr/>
      </w:pPr>
      <w:r>
        <w:rPr/>
        <w:t>Белогорского района</w:t>
      </w:r>
    </w:p>
    <w:p>
      <w:pPr>
        <w:pStyle w:val="Normal"/>
        <w:spacing w:lineRule="atLeast" w:line="100"/>
        <w:jc w:val="center"/>
        <w:rPr/>
      </w:pPr>
      <w:r>
        <w:rPr/>
        <w:t>Республики Крым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  <w:t>П О С Т А Н О В Л Е Н И Е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</w:tabs>
        <w:spacing w:lineRule="atLeast" w:line="100"/>
        <w:rPr/>
      </w:pPr>
      <w:r>
        <w:rPr/>
        <w:t>28 июля</w:t>
      </w:r>
      <w:r>
        <w:rPr/>
        <w:t xml:space="preserve"> 2020 г.</w:t>
        <w:tab/>
        <w:t>село Васильевка</w:t>
        <w:tab/>
        <w:tab/>
        <w:tab/>
        <w:tab/>
        <w:t xml:space="preserve">№ </w:t>
      </w:r>
      <w:r>
        <w:rPr/>
        <w:t>151</w:t>
      </w:r>
    </w:p>
    <w:p>
      <w:pPr>
        <w:pStyle w:val="Normal"/>
        <w:tabs>
          <w:tab w:val="clear" w:pos="708"/>
          <w:tab w:val="left" w:pos="1110" w:leader="none"/>
        </w:tabs>
        <w:spacing w:lineRule="atLeast" w:line="100"/>
        <w:jc w:val="both"/>
        <w:rPr/>
      </w:pPr>
      <w:r>
        <w:rPr/>
      </w:r>
    </w:p>
    <w:p>
      <w:pPr>
        <w:pStyle w:val="ConsPlusNormal1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 утверждении порядка </w:t>
      </w:r>
      <w:r>
        <w:rPr>
          <w:b/>
          <w:bCs/>
          <w:color w:val="26282F"/>
          <w:sz w:val="24"/>
          <w:szCs w:val="24"/>
          <w:lang w:val="ru-RU"/>
        </w:rPr>
        <w:t xml:space="preserve">расчета объема средств, подлежащих возврату из бюджета муниципального образования </w:t>
      </w:r>
      <w:r>
        <w:rPr>
          <w:b/>
          <w:sz w:val="24"/>
          <w:szCs w:val="24"/>
          <w:lang w:val="ru-RU"/>
        </w:rPr>
        <w:t xml:space="preserve">Васильевкое сельское поселение </w:t>
      </w:r>
      <w:r>
        <w:rPr>
          <w:b/>
          <w:sz w:val="24"/>
          <w:szCs w:val="24"/>
          <w:lang w:val="ru-RU" w:eastAsia="ru-RU"/>
        </w:rPr>
        <w:t xml:space="preserve">Белогорского района </w:t>
      </w:r>
      <w:r>
        <w:rPr>
          <w:b/>
          <w:bCs/>
          <w:color w:val="26282F"/>
          <w:sz w:val="24"/>
          <w:szCs w:val="24"/>
          <w:lang w:val="ru-RU"/>
        </w:rP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>
        <w:rPr>
          <w:b/>
          <w:sz w:val="24"/>
          <w:szCs w:val="24"/>
          <w:lang w:val="ru-RU"/>
        </w:rPr>
        <w:t xml:space="preserve">Васильевкое сельское поселение </w:t>
      </w:r>
      <w:r>
        <w:rPr>
          <w:b/>
          <w:sz w:val="24"/>
          <w:szCs w:val="24"/>
          <w:lang w:val="ru-RU" w:eastAsia="ru-RU"/>
        </w:rPr>
        <w:t xml:space="preserve">Белогорского района </w:t>
      </w:r>
      <w:r>
        <w:rPr>
          <w:b/>
          <w:bCs/>
          <w:color w:val="26282F"/>
          <w:sz w:val="24"/>
          <w:szCs w:val="24"/>
          <w:lang w:val="ru-RU"/>
        </w:rPr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</w:p>
    <w:p>
      <w:pPr>
        <w:pStyle w:val="Normal"/>
        <w:tabs>
          <w:tab w:val="clear" w:pos="708"/>
          <w:tab w:val="left" w:pos="-142" w:leader="none"/>
          <w:tab w:val="left" w:pos="567" w:leader="none"/>
          <w:tab w:val="left" w:pos="5245" w:leader="none"/>
        </w:tabs>
        <w:suppressAutoHyphens w:val="false"/>
        <w:jc w:val="both"/>
        <w:rPr/>
      </w:pPr>
      <w:r>
        <w:rPr/>
        <w:tab/>
        <w:t xml:space="preserve">В соответствии с </w:t>
      </w:r>
      <w:r>
        <w:rPr>
          <w:rStyle w:val="Style18"/>
          <w:rFonts w:cs="Times New Roman CYR"/>
        </w:rPr>
        <w:t>Бюджетным кодексом</w:t>
      </w:r>
      <w:r>
        <w:rPr/>
        <w:t xml:space="preserve"> Российской Федерации, </w:t>
      </w:r>
      <w:r>
        <w:rPr>
          <w:rStyle w:val="Style18"/>
          <w:rFonts w:cs="Times New Roman CYR"/>
        </w:rPr>
        <w:t>статьями 7</w:t>
      </w:r>
      <w:r>
        <w:rPr/>
        <w:t xml:space="preserve">, </w:t>
      </w:r>
      <w:hyperlink r:id="rId3">
        <w:r>
          <w:rPr>
            <w:rStyle w:val="Style18"/>
            <w:rFonts w:cs="Times New Roman CYR"/>
          </w:rPr>
          <w:t>43</w:t>
        </w:r>
      </w:hyperlink>
      <w:r>
        <w:rPr/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4">
        <w:r>
          <w:rPr>
            <w:rStyle w:val="Style18"/>
            <w:rFonts w:cs="Times New Roman CYR"/>
          </w:rPr>
          <w:t>статьей 4</w:t>
        </w:r>
      </w:hyperlink>
      <w:r>
        <w:rPr/>
        <w:t xml:space="preserve"> Закона Республики Крым от 21.08.2014 № 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среды", утвержденной постановлением Совета министров Республики Крым от 31 августа 2017 года № 437, Соглашением о предоставлении и расходовании в 2020 году субсидии из бюджета Республики Крым бюджету муниципального образования Василевское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от 06.07.2020 № 593, администрация Васильевкого сельского поселения Белогорского района Республики Крым</w:t>
      </w:r>
    </w:p>
    <w:p>
      <w:pPr>
        <w:pStyle w:val="Normal"/>
        <w:tabs>
          <w:tab w:val="clear" w:pos="708"/>
          <w:tab w:val="left" w:pos="-142" w:leader="none"/>
          <w:tab w:val="left" w:pos="567" w:leader="none"/>
          <w:tab w:val="left" w:pos="5245" w:leader="none"/>
        </w:tabs>
        <w:suppressAutoHyphens w:val="false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tabs>
          <w:tab w:val="clear" w:pos="708"/>
          <w:tab w:val="left" w:pos="-142" w:leader="none"/>
          <w:tab w:val="left" w:pos="4678" w:leader="none"/>
          <w:tab w:val="left" w:pos="5245" w:leader="none"/>
        </w:tabs>
        <w:suppressAutoHyphens w:val="false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  <w:t>ПОСТАНОВЛЯЕТ:</w:t>
      </w:r>
    </w:p>
    <w:p>
      <w:pPr>
        <w:pStyle w:val="Normal"/>
        <w:tabs>
          <w:tab w:val="clear" w:pos="708"/>
          <w:tab w:val="left" w:pos="-142" w:leader="none"/>
          <w:tab w:val="left" w:pos="4678" w:leader="none"/>
          <w:tab w:val="left" w:pos="5245" w:leader="none"/>
        </w:tabs>
        <w:suppressAutoHyphens w:val="false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1. Утвердить Порядок расчета объема средств, подлежащих возврату из бюджета муниципального образования Васильевское 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Васильевкое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согласно </w:t>
      </w:r>
      <w:hyperlink w:anchor="sub_1000">
        <w:r>
          <w:rPr>
            <w:rStyle w:val="Style18"/>
            <w:rFonts w:cs="Times New Roman CYR"/>
          </w:rPr>
          <w:t>приложению</w:t>
        </w:r>
      </w:hyperlink>
      <w:r>
        <w:rPr/>
        <w:t>.</w:t>
      </w:r>
    </w:p>
    <w:p>
      <w:pPr>
        <w:pStyle w:val="Normal"/>
        <w:widowControl w:val="false"/>
        <w:suppressAutoHyphens w:val="false"/>
        <w:overflowPunct w:val="false"/>
        <w:spacing w:lineRule="auto" w:line="252"/>
        <w:jc w:val="both"/>
        <w:rPr/>
      </w:pPr>
      <w:r>
        <w:rPr>
          <w:lang w:eastAsia="ru-RU"/>
        </w:rPr>
        <w:t xml:space="preserve">2. </w:t>
      </w:r>
      <w:r>
        <w:rPr/>
        <w:t>Настоящее постановление подлежит официальному обнародованию  на сайте администрации Васильевского сельского поселения Белогорского района Республики Крым (</w:t>
      </w:r>
      <w:hyperlink r:id="rId5">
        <w:r>
          <w:rPr>
            <w:rStyle w:val="Style19"/>
          </w:rPr>
          <w:t>http://васильевка-</w:t>
        </w:r>
      </w:hyperlink>
      <w:r>
        <w:rPr/>
        <w:t xml:space="preserve"> адм.рф)  и на информационном стенде администрации Васильевского поселения по адресу: ул. А.Каманская, 50, с. Васильевка.</w:t>
      </w:r>
    </w:p>
    <w:p>
      <w:pPr>
        <w:pStyle w:val="Normal"/>
        <w:tabs>
          <w:tab w:val="clear" w:pos="708"/>
          <w:tab w:val="left" w:pos="284" w:leader="none"/>
        </w:tabs>
        <w:suppressAutoHyphens w:val="false"/>
        <w:spacing w:before="60" w:after="0"/>
        <w:jc w:val="both"/>
        <w:rPr>
          <w:lang w:eastAsia="ru-RU"/>
        </w:rPr>
      </w:pPr>
      <w:r>
        <w:rPr>
          <w:lang w:eastAsia="ru-RU"/>
        </w:rPr>
        <w:tab/>
        <w:t>3. Настоящее постановление вступает в силу с момента обнародования.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jc w:val="both"/>
        <w:rPr/>
      </w:pPr>
      <w:bookmarkStart w:id="0" w:name="__DdeLink__300_295295007"/>
      <w:bookmarkEnd w:id="0"/>
      <w:r>
        <w:rPr/>
        <w:tab/>
        <w:t>4. Контроль за исполнением постановления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Васильевского сельского совета – </w:t>
      </w:r>
    </w:p>
    <w:p>
      <w:pPr>
        <w:pStyle w:val="Normal"/>
        <w:rPr/>
      </w:pPr>
      <w:r>
        <w:rPr/>
        <w:t>глава администрации  Васильевского сельского поселения                                    В.Д.Франгопулов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3175</wp:posOffset>
                </wp:positionV>
                <wp:extent cx="2809875" cy="983615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80" cy="9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424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4424"/>
                            </w:tblGrid>
                            <w:tr>
                              <w:trPr>
                                <w:trHeight w:val="1548" w:hRule="atLeast"/>
                              </w:trPr>
                              <w:tc>
                                <w:tcPr>
                                  <w:tcW w:w="44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 xml:space="preserve">Приложение </w:t>
                                  </w:r>
                                </w:p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 xml:space="preserve">к постановлению администрации </w:t>
                                  </w:r>
                                </w:p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Васильевского  сельского поселения</w:t>
                                  </w:r>
                                </w:p>
                                <w:p>
                                  <w:pPr>
                                    <w:pStyle w:val="Style28"/>
                                    <w:jc w:val="both"/>
                                    <w:rPr/>
                                  </w:pPr>
                                  <w:r>
                                    <w:rPr/>
                                    <w:t>Белогорского района Республики Крым</w:t>
                                  </w:r>
                                </w:p>
                                <w:p>
                                  <w:pPr>
                                    <w:pStyle w:val="Style28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от </w:t>
                                  </w:r>
                                  <w:r>
                                    <w:rPr/>
                                    <w:t>28.07.</w:t>
                                  </w:r>
                                  <w:r>
                                    <w:rPr/>
                                    <w:t xml:space="preserve">2020 № </w:t>
                                  </w:r>
                                  <w:r>
                                    <w:rPr/>
                                    <w:t>151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274.35pt;margin-top:0.25pt;width:221.15pt;height:77.35pt;mso-position-horizontal:righ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4424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4424"/>
                      </w:tblGrid>
                      <w:tr>
                        <w:trPr>
                          <w:trHeight w:val="1548" w:hRule="atLeast"/>
                        </w:trPr>
                        <w:tc>
                          <w:tcPr>
                            <w:tcW w:w="4424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 xml:space="preserve">Приложение </w:t>
                            </w:r>
                          </w:p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 xml:space="preserve">к постановлению администрации </w:t>
                            </w:r>
                          </w:p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Васильевского  сельского поселения</w:t>
                            </w:r>
                          </w:p>
                          <w:p>
                            <w:pPr>
                              <w:pStyle w:val="Style28"/>
                              <w:jc w:val="both"/>
                              <w:rPr/>
                            </w:pPr>
                            <w:r>
                              <w:rPr/>
                              <w:t>Белогорского района Республики Крым</w:t>
                            </w:r>
                          </w:p>
                          <w:p>
                            <w:pPr>
                              <w:pStyle w:val="Style28"/>
                              <w:jc w:val="both"/>
                              <w:rPr/>
                            </w:pPr>
                            <w:r>
                              <w:rPr/>
                              <w:t xml:space="preserve">от </w:t>
                            </w:r>
                            <w:r>
                              <w:rPr/>
                              <w:t>28.07.</w:t>
                            </w:r>
                            <w:r>
                              <w:rPr/>
                              <w:t xml:space="preserve">2020 № </w:t>
                            </w:r>
                            <w:r>
                              <w:rPr/>
                              <w:t>151</w:t>
                            </w:r>
                          </w:p>
                        </w:tc>
                      </w:tr>
                    </w:tbl>
                    <w:p>
                      <w:pPr>
                        <w:pStyle w:val="Style2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center"/>
        <w:rPr>
          <w:b/>
          <w:b/>
          <w:bCs/>
          <w:color w:val="26282F"/>
        </w:rPr>
      </w:pPr>
      <w:r>
        <w:rPr>
          <w:b/>
          <w:bCs/>
          <w:color w:val="26282F"/>
        </w:rPr>
        <w:t xml:space="preserve">Порядок расчета объема средств, подлежащих возврату из бюджета муниципального образования </w:t>
      </w:r>
      <w:r>
        <w:rPr>
          <w:b/>
        </w:rPr>
        <w:t xml:space="preserve">Васильевское сельское поселение </w:t>
      </w:r>
      <w:r>
        <w:rPr>
          <w:b/>
          <w:lang w:eastAsia="ru-RU"/>
        </w:rPr>
        <w:t xml:space="preserve">Белогорского района </w:t>
      </w:r>
      <w:r>
        <w:rPr>
          <w:b/>
          <w:bCs/>
          <w:color w:val="26282F"/>
        </w:rP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>
        <w:rPr>
          <w:b/>
        </w:rPr>
        <w:t xml:space="preserve">Васильевское сельское поселение </w:t>
      </w:r>
      <w:r>
        <w:rPr>
          <w:b/>
          <w:lang w:eastAsia="ru-RU"/>
        </w:rPr>
        <w:t xml:space="preserve">Белогорского района </w:t>
      </w:r>
      <w:r>
        <w:rPr>
          <w:b/>
          <w:bCs/>
          <w:color w:val="26282F"/>
        </w:rPr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</w:p>
    <w:p>
      <w:pPr>
        <w:pStyle w:val="1"/>
        <w:shd w:val="clear" w:color="auto" w:fill="auto"/>
        <w:spacing w:lineRule="auto" w:line="240" w:before="0" w:after="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1. Порядок расчета объема средств, подлежащих возврату из бюджета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разработан в соответствии с Порядоком предоставления и распределения Субсидий из бюджета Республики Крым бюджетам муниципальных образований Республики Крым на благоустройство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(далее - Порядок).</w:t>
      </w:r>
    </w:p>
    <w:p>
      <w:pPr>
        <w:pStyle w:val="Normal"/>
        <w:jc w:val="both"/>
        <w:rPr/>
      </w:pPr>
      <w:bookmarkStart w:id="1" w:name="sub_1001"/>
      <w:bookmarkEnd w:id="1"/>
      <w:r>
        <w:rPr/>
        <w:t xml:space="preserve">2. Уполномоченным органом по возврату средств субсидии из бюджета муниципального образования  Васильевское 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в бюджет Республики Крым при нарушении муниципальным образованием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обязательств, указанных в Соглашении о предоставлении и расходовании в 2020 году субсидии из бюджета Республики Крым бюджету муниципального образования Васильевское 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от 06.07.2020 № 593 (далее - Соглашение), является главный администратор доходов бюджета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>Республики Крым.</w:t>
      </w:r>
    </w:p>
    <w:p>
      <w:pPr>
        <w:pStyle w:val="Normal"/>
        <w:jc w:val="both"/>
        <w:rPr/>
      </w:pPr>
      <w:bookmarkStart w:id="2" w:name="sub_1003"/>
      <w:bookmarkStart w:id="3" w:name="sub_1002"/>
      <w:bookmarkEnd w:id="3"/>
      <w:r>
        <w:rPr/>
        <w:t xml:space="preserve">3. </w:t>
      </w:r>
      <w:bookmarkEnd w:id="2"/>
      <w:r>
        <w:rPr/>
        <w:t xml:space="preserve">В случае если муниципальным образованием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подлежащих возврату из бюджета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>Республики Крым в бюджет Республики Крым в срок до 1 июня года, следующего за годом, в котором предоставляются Субсидии (</w:t>
      </w:r>
      <w:r>
        <w:rPr>
          <w:lang w:val="en-US"/>
        </w:rPr>
        <w:t>V</w:t>
      </w:r>
      <w:r>
        <w:rPr>
          <w:i/>
        </w:rPr>
        <w:t>возврата</w:t>
      </w:r>
      <w:r>
        <w:rPr/>
        <w:t>), рассчитывается по формуле:</w:t>
      </w:r>
    </w:p>
    <w:p>
      <w:pPr>
        <w:pStyle w:val="Normal"/>
        <w:jc w:val="center"/>
        <w:rPr/>
      </w:pPr>
      <w:r>
        <w:rPr>
          <w:lang w:val="en-US"/>
        </w:rPr>
        <w:t>V</w:t>
      </w:r>
      <w:r>
        <w:rPr>
          <w:i/>
        </w:rPr>
        <w:t>возврата =</w:t>
      </w:r>
      <w:r>
        <w:rPr/>
        <w:t xml:space="preserve"> (</w:t>
      </w:r>
      <w:r>
        <w:rPr>
          <w:lang w:val="en-US"/>
        </w:rPr>
        <w:t>V</w:t>
      </w:r>
      <w:r>
        <w:rPr>
          <w:i/>
        </w:rPr>
        <w:t xml:space="preserve">субсидии </w:t>
      </w:r>
      <w:r>
        <w:rPr>
          <w:i/>
          <w:lang w:val="en-US"/>
        </w:rPr>
        <w:t>k</w:t>
      </w:r>
      <w:r>
        <w:rPr>
          <w:i/>
        </w:rPr>
        <w:t xml:space="preserve"> </w:t>
      </w:r>
      <w:r>
        <w:rPr>
          <w:lang w:val="en-US"/>
        </w:rPr>
        <w:t>x</w:t>
      </w:r>
      <w:r>
        <w:rPr/>
        <w:t xml:space="preserve"> 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n</w:t>
      </w:r>
      <w:r>
        <w:rPr>
          <w:i/>
        </w:rPr>
        <w:t xml:space="preserve">) </w:t>
      </w:r>
      <w:r>
        <w:rPr/>
        <w:t>х</w:t>
      </w:r>
      <w:r>
        <w:rPr>
          <w:i/>
        </w:rPr>
        <w:t xml:space="preserve"> 0,1,</w:t>
      </w:r>
    </w:p>
    <w:p>
      <w:pPr>
        <w:pStyle w:val="Normal"/>
        <w:rPr/>
      </w:pPr>
      <w:r>
        <w:rPr/>
        <w:t>где:</w:t>
      </w:r>
    </w:p>
    <w:p>
      <w:pPr>
        <w:pStyle w:val="Normal"/>
        <w:jc w:val="both"/>
        <w:rPr/>
      </w:pPr>
      <w:r>
        <w:rPr>
          <w:lang w:val="en-US"/>
        </w:rPr>
        <w:t>V</w:t>
      </w:r>
      <w:r>
        <w:rPr>
          <w:i/>
        </w:rPr>
        <w:t>субсидии</w:t>
      </w:r>
      <w:r>
        <w:rPr/>
        <w:t xml:space="preserve"> - размер Субсидий, предоставленной бюджету муниципального образования Республики Крым в отчетном финансовом году.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 Васильевское  сельское поселение </w:t>
      </w:r>
      <w:r>
        <w:rPr>
          <w:lang w:eastAsia="ru-RU"/>
        </w:rPr>
        <w:t xml:space="preserve">Белогорского района </w:t>
      </w:r>
      <w:r>
        <w:rPr/>
        <w:t>Республики Крым (</w:t>
      </w:r>
      <w:r>
        <w:rPr>
          <w:lang w:val="en-US"/>
        </w:rPr>
        <w:t>V</w:t>
      </w:r>
      <w:r>
        <w:rPr>
          <w:i/>
        </w:rPr>
        <w:t>субсидии</w:t>
      </w:r>
      <w:r>
        <w:rPr/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 (далее - главный администратор доходов бюджета Республики Крым);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lang w:val="en-US"/>
        </w:rPr>
        <w:t>k</w:t>
      </w:r>
      <w:r>
        <w:rPr/>
        <w:t xml:space="preserve"> - коэффициент возврата Субсидий;</w:t>
      </w:r>
    </w:p>
    <w:p>
      <w:pPr>
        <w:pStyle w:val="Normal"/>
        <w:rPr/>
      </w:pPr>
      <w:r>
        <w:rPr>
          <w:i/>
          <w:lang w:val="en-US"/>
        </w:rPr>
        <w:t>m</w:t>
      </w:r>
      <w:r>
        <w:rPr/>
        <w:t xml:space="preserve"> - количество результатов использования Субсидий, по которым индекс, отражающий уровень недостижения i-гo результата использования Субсидий, имеет положительное значение;</w:t>
      </w:r>
    </w:p>
    <w:p>
      <w:pPr>
        <w:pStyle w:val="Normal"/>
        <w:rPr/>
      </w:pPr>
      <w:r>
        <w:rPr>
          <w:i/>
          <w:lang w:val="en-US"/>
        </w:rPr>
        <w:t>n</w:t>
      </w:r>
      <w:r>
        <w:rPr/>
        <w:t xml:space="preserve"> - общее количество результатов использования Субсидий;</w:t>
      </w:r>
    </w:p>
    <w:p>
      <w:pPr>
        <w:pStyle w:val="Normal"/>
        <w:rPr/>
      </w:pPr>
      <w:r>
        <w:rPr>
          <w:i/>
        </w:rPr>
        <w:t>0,1</w:t>
      </w:r>
      <w:r>
        <w:rPr/>
        <w:t xml:space="preserve"> - понижающий коэффициент суммы возврата Субсидии.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Коэффициент возврата Субсидий рассчитывается по формуле: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  <w:lang w:val="en-US"/>
        </w:rPr>
        <w:t>k</w:t>
      </w:r>
      <w:r>
        <w:rPr>
          <w:i/>
        </w:rPr>
        <w:t xml:space="preserve"> = </w:t>
      </w:r>
      <w:r>
        <w:rPr>
          <w:i/>
          <w:lang w:val="en-US"/>
        </w:rPr>
        <w:t>SUMDi</w:t>
      </w:r>
      <w:r>
        <w:rPr>
          <w:i/>
        </w:rPr>
        <w:t>/</w:t>
      </w:r>
      <w:r>
        <w:rPr>
          <w:i/>
          <w:lang w:val="en-US"/>
        </w:rPr>
        <w:t>m</w:t>
      </w:r>
      <w:r>
        <w:rPr>
          <w:i/>
        </w:rPr>
        <w:t>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lang w:val="en-US"/>
        </w:rPr>
        <w:t>Di</w:t>
      </w:r>
      <w:r>
        <w:rPr/>
        <w:t xml:space="preserve"> - индекс, отражающий уровень недостижения </w:t>
      </w:r>
      <w:r>
        <w:rPr>
          <w:i/>
        </w:rPr>
        <w:t>i-гo</w:t>
      </w:r>
      <w:r>
        <w:rPr/>
        <w:t xml:space="preserve"> результата использования Субсидий.</w:t>
      </w:r>
    </w:p>
    <w:p>
      <w:pPr>
        <w:pStyle w:val="Normal"/>
        <w:jc w:val="both"/>
        <w:rPr/>
      </w:pPr>
      <w:r>
        <w:rPr/>
        <w:t xml:space="preserve">При расчете коэффициента возврата Субсидий используются только положительные значения индекса, отражающего уровень недостижения </w:t>
      </w:r>
      <w:r>
        <w:rPr>
          <w:i/>
        </w:rPr>
        <w:t>i-гo</w:t>
      </w:r>
      <w:r>
        <w:rPr/>
        <w:t xml:space="preserve"> результата использования Субсидий.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5. Индекс, отражающий уровень недостижения </w:t>
      </w:r>
      <w:r>
        <w:rPr>
          <w:i/>
        </w:rPr>
        <w:t>i-гo</w:t>
      </w:r>
      <w:r>
        <w:rPr/>
        <w:t xml:space="preserve"> результата использования Субсидий, определяется: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>
      <w:pPr>
        <w:pStyle w:val="Normal"/>
        <w:jc w:val="center"/>
        <w:rPr>
          <w:i/>
          <w:i/>
        </w:rPr>
      </w:pPr>
      <w:r>
        <w:rPr>
          <w:i/>
          <w:lang w:val="en-US"/>
        </w:rPr>
        <w:t>Di</w:t>
      </w:r>
      <w:r>
        <w:rPr>
          <w:i/>
        </w:rPr>
        <w:t xml:space="preserve"> = 1 - </w:t>
      </w:r>
      <w:r>
        <w:rPr>
          <w:i/>
          <w:lang w:val="en-US"/>
        </w:rPr>
        <w:t>Ti</w:t>
      </w:r>
      <w:r>
        <w:rPr>
          <w:i/>
        </w:rPr>
        <w:t>/</w:t>
      </w:r>
      <w:r>
        <w:rPr>
          <w:i/>
          <w:lang w:val="en-US"/>
        </w:rPr>
        <w:t>Si</w:t>
      </w:r>
      <w:r>
        <w:rPr/>
        <w:t>,</w:t>
      </w:r>
    </w:p>
    <w:p>
      <w:pPr>
        <w:pStyle w:val="Normal"/>
        <w:rPr/>
      </w:pPr>
      <w:r>
        <w:rPr/>
        <w:t>где:</w:t>
      </w:r>
    </w:p>
    <w:p>
      <w:pPr>
        <w:pStyle w:val="Normal"/>
        <w:rPr/>
      </w:pPr>
      <w:r>
        <w:rPr>
          <w:i/>
          <w:lang w:val="en-US"/>
        </w:rPr>
        <w:t>Ti</w:t>
      </w:r>
      <w:r>
        <w:rPr/>
        <w:t xml:space="preserve"> - фактически достигнутое значение </w:t>
      </w:r>
      <w:r>
        <w:rPr>
          <w:i/>
        </w:rPr>
        <w:t>i-гo</w:t>
      </w:r>
      <w:r>
        <w:rPr/>
        <w:t xml:space="preserve"> результата использования Субсидий на отчетную дату;</w:t>
      </w:r>
    </w:p>
    <w:p>
      <w:pPr>
        <w:pStyle w:val="Normal"/>
        <w:rPr/>
      </w:pPr>
      <w:r>
        <w:rPr>
          <w:i/>
          <w:lang w:val="en-US"/>
        </w:rPr>
        <w:t>Si</w:t>
      </w:r>
      <w:r>
        <w:rPr/>
        <w:t xml:space="preserve"> - плановое значение </w:t>
      </w:r>
      <w:r>
        <w:rPr>
          <w:i/>
        </w:rPr>
        <w:t>i-гo</w:t>
      </w:r>
      <w:r>
        <w:rPr/>
        <w:t xml:space="preserve"> результата использования Субсидий, установленное Соглашением;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Di = 1 - Si /Ti,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6. 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7.  В случае если муниципальным образованием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на реализацию расходного обязательства, в целях софинансирования которого  предоставляется Субсидия, и (или) бюджетные ассигнования из бюджета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направлены на финансирование расходного обязательства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Крым, софинансируемого за счет Субсидий, в объеме, не соответствующем объему бюджетных ассигнований бюджета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 xml:space="preserve">Республики Крым на финансирование расходного обязательства муниципального образования Васильевское сельское поселение </w:t>
      </w:r>
      <w:r>
        <w:rPr>
          <w:lang w:eastAsia="ru-RU"/>
        </w:rPr>
        <w:t xml:space="preserve">Белогорского района </w:t>
      </w:r>
      <w:r>
        <w:rPr/>
        <w:t>Республики Крым, софинансируемого за счет Субсидии, определенному в соответствии с Соглашением,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r>
        <w:rPr>
          <w:lang w:val="en-US"/>
        </w:rPr>
        <w:t>V</w:t>
      </w:r>
      <w:r>
        <w:rPr>
          <w:i/>
        </w:rPr>
        <w:t>возврата</w:t>
      </w:r>
      <w:r>
        <w:rPr/>
        <w:t>), рассчитывается по формуле:</w:t>
      </w:r>
    </w:p>
    <w:p>
      <w:pPr>
        <w:pStyle w:val="Normal"/>
        <w:jc w:val="center"/>
        <w:rPr/>
      </w:pPr>
      <w:r>
        <w:rPr>
          <w:lang w:val="en-US"/>
        </w:rPr>
        <w:t>V</w:t>
      </w:r>
      <w:r>
        <w:rPr>
          <w:i/>
        </w:rPr>
        <w:t>возврата=</w:t>
      </w:r>
      <w:r>
        <w:rPr/>
        <w:t xml:space="preserve"> </w:t>
      </w:r>
      <w:r>
        <w:rPr>
          <w:lang w:val="en-US"/>
        </w:rPr>
        <w:t>V</w:t>
      </w:r>
      <w:r>
        <w:rPr>
          <w:i/>
        </w:rPr>
        <w:t xml:space="preserve">субсидии </w:t>
      </w:r>
      <w:r>
        <w:rPr/>
        <w:t>х ((</w:t>
      </w:r>
      <w:r>
        <w:rPr>
          <w:lang w:val="en-US"/>
        </w:rPr>
        <w:t>VS</w:t>
      </w:r>
      <w:r>
        <w:rPr>
          <w:i/>
        </w:rPr>
        <w:t xml:space="preserve">план </w:t>
      </w:r>
      <w:r>
        <w:rPr/>
        <w:t>–</w:t>
      </w:r>
      <w:r>
        <w:rPr>
          <w:i/>
        </w:rPr>
        <w:t xml:space="preserve"> </w:t>
      </w:r>
      <w:r>
        <w:rPr>
          <w:lang w:val="en-US"/>
        </w:rPr>
        <w:t>VS</w:t>
      </w:r>
      <w:r>
        <w:rPr>
          <w:i/>
        </w:rPr>
        <w:t>факт)/</w:t>
      </w:r>
      <w:r>
        <w:rPr/>
        <w:t xml:space="preserve"> VS</w:t>
      </w:r>
      <w:r>
        <w:rPr>
          <w:i/>
        </w:rPr>
        <w:t>план),</w:t>
      </w:r>
    </w:p>
    <w:p>
      <w:pPr>
        <w:pStyle w:val="Normal"/>
        <w:rPr/>
      </w:pPr>
      <w:r>
        <w:rPr/>
        <w:t>где: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en-US"/>
        </w:rPr>
        <w:t>VS</w:t>
      </w:r>
      <w:r>
        <w:rPr>
          <w:i/>
        </w:rPr>
        <w:t>план</w:t>
      </w:r>
      <w:r>
        <w:rPr/>
        <w:t xml:space="preserve"> - плановый объем софинансирования из бюджета муниципального образования Республики Крым;</w:t>
      </w:r>
    </w:p>
    <w:p>
      <w:pPr>
        <w:pStyle w:val="Normal"/>
        <w:rPr/>
      </w:pPr>
      <w:r>
        <w:rPr>
          <w:lang w:val="en-US"/>
        </w:rPr>
        <w:t>VS</w:t>
      </w:r>
      <w:r>
        <w:rPr>
          <w:i/>
        </w:rPr>
        <w:t>факт</w:t>
      </w:r>
      <w:r>
        <w:rPr/>
        <w:t xml:space="preserve"> - фактический объем софинансирования из бюджета муниципального образования Республики Крым.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>
        <w:rPr>
          <w:lang w:val="en-US"/>
        </w:rPr>
        <w:t>V</w:t>
      </w:r>
      <w:r>
        <w:rPr>
          <w:i/>
        </w:rPr>
        <w:t>возврата</w:t>
      </w:r>
      <w:r>
        <w:rPr/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Start w:id="4" w:name="sub_1004"/>
      <w:bookmarkEnd w:id="4"/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247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be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91d5b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700dd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700dd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" w:customStyle="1">
    <w:name w:val="Основной текст (2)_"/>
    <w:basedOn w:val="DefaultParagraphFont"/>
    <w:qFormat/>
    <w:rsid w:val="00bc30fe"/>
    <w:rPr>
      <w:rFonts w:ascii="Palatino Linotype" w:hAnsi="Palatino Linotype" w:cs="Palatino Linotype"/>
      <w:shd w:fill="FFFFFF" w:val="clear"/>
      <w:lang w:eastAsia="ar-SA" w:bidi="ar-SA"/>
    </w:rPr>
  </w:style>
  <w:style w:type="character" w:styleId="Style17" w:customStyle="1">
    <w:name w:val="Основной текст_"/>
    <w:basedOn w:val="DefaultParagraphFont"/>
    <w:link w:val="1"/>
    <w:qFormat/>
    <w:rsid w:val="005e53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ConsPlusNormal" w:customStyle="1">
    <w:name w:val="ConsPlusNormal Знак"/>
    <w:link w:val="ConsPlusNormal0"/>
    <w:qFormat/>
    <w:locked/>
    <w:rsid w:val="00ae1ac4"/>
    <w:rPr>
      <w:rFonts w:ascii="Times New Roman" w:hAnsi="Times New Roman" w:eastAsia="Times New Roman" w:cs="Times New Roman"/>
      <w:sz w:val="28"/>
      <w:szCs w:val="20"/>
      <w:lang w:val="uk-UA" w:eastAsia="uk-UA"/>
    </w:rPr>
  </w:style>
  <w:style w:type="character" w:styleId="Style18" w:customStyle="1">
    <w:name w:val="Гипертекстовая ссылка"/>
    <w:basedOn w:val="DefaultParagraphFont"/>
    <w:uiPriority w:val="99"/>
    <w:qFormat/>
    <w:rsid w:val="00cf5069"/>
    <w:rPr>
      <w:rFonts w:cs="Times New Roman"/>
      <w:color w:val="106BBE"/>
    </w:rPr>
  </w:style>
  <w:style w:type="character" w:styleId="ListLabel1" w:customStyle="1">
    <w:name w:val="ListLabel 1"/>
    <w:qFormat/>
    <w:rsid w:val="0000321c"/>
    <w:rPr>
      <w:sz w:val="24"/>
      <w:szCs w:val="24"/>
    </w:rPr>
  </w:style>
  <w:style w:type="character" w:styleId="ListLabel2" w:customStyle="1">
    <w:name w:val="ListLabel 2"/>
    <w:qFormat/>
    <w:rsid w:val="0000321c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" w:customStyle="1">
    <w:name w:val="ListLabel 3"/>
    <w:qFormat/>
    <w:rsid w:val="0000321c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 w:customStyle="1">
    <w:name w:val="ListLabel 4"/>
    <w:qFormat/>
    <w:rsid w:val="0000321c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 w:customStyle="1">
    <w:name w:val="ListLabel 5"/>
    <w:qFormat/>
    <w:rsid w:val="0000321c"/>
    <w:rPr>
      <w:rFonts w:cs="Times New Roman CYR"/>
    </w:rPr>
  </w:style>
  <w:style w:type="character" w:styleId="Style19">
    <w:name w:val="Интернет-ссылка"/>
    <w:uiPriority w:val="99"/>
    <w:semiHidden/>
    <w:unhideWhenUsed/>
    <w:rsid w:val="00945c60"/>
    <w:rPr>
      <w:color w:val="0000FF"/>
      <w:u w:val="single"/>
    </w:rPr>
  </w:style>
  <w:style w:type="character" w:styleId="ListLabel6">
    <w:name w:val="ListLabel 6"/>
    <w:qFormat/>
    <w:rPr>
      <w:rFonts w:cs="Times New Roman CYR"/>
    </w:rPr>
  </w:style>
  <w:style w:type="character" w:styleId="ListLabel7">
    <w:name w:val="ListLabel 7"/>
    <w:qFormat/>
    <w:rPr/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character" w:styleId="ListLabel8">
    <w:name w:val="ListLabel 8"/>
    <w:qFormat/>
    <w:rPr>
      <w:rFonts w:cs="Times New Roman CYR"/>
    </w:rPr>
  </w:style>
  <w:style w:type="character" w:styleId="ListLabel9">
    <w:name w:val="ListLabel 9"/>
    <w:qFormat/>
    <w:rPr/>
  </w:style>
  <w:style w:type="paragraph" w:styleId="Style21" w:customStyle="1">
    <w:name w:val="Заголовок"/>
    <w:basedOn w:val="Normal"/>
    <w:next w:val="Style22"/>
    <w:qFormat/>
    <w:rsid w:val="0000321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rsid w:val="0000321c"/>
    <w:pPr>
      <w:spacing w:lineRule="auto" w:line="276" w:before="0" w:after="140"/>
    </w:pPr>
    <w:rPr/>
  </w:style>
  <w:style w:type="paragraph" w:styleId="Style23">
    <w:name w:val="List"/>
    <w:basedOn w:val="Style22"/>
    <w:rsid w:val="0000321c"/>
    <w:pPr/>
    <w:rPr>
      <w:rFonts w:cs="Mangal"/>
    </w:rPr>
  </w:style>
  <w:style w:type="paragraph" w:styleId="Style24" w:customStyle="1">
    <w:name w:val="Caption"/>
    <w:basedOn w:val="Normal"/>
    <w:qFormat/>
    <w:rsid w:val="0000321c"/>
    <w:pPr>
      <w:suppressLineNumbers/>
      <w:spacing w:before="120" w:after="120"/>
    </w:pPr>
    <w:rPr>
      <w:rFonts w:cs="Mangal"/>
      <w:i/>
      <w:iCs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0321c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491d5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e75"/>
    <w:pPr>
      <w:spacing w:before="0" w:after="0"/>
      <w:ind w:left="720" w:hanging="0"/>
      <w:contextualSpacing/>
    </w:pPr>
    <w:rPr/>
  </w:style>
  <w:style w:type="paragraph" w:styleId="Style26" w:customStyle="1">
    <w:name w:val="Header"/>
    <w:basedOn w:val="Normal"/>
    <w:uiPriority w:val="99"/>
    <w:semiHidden/>
    <w:unhideWhenUsed/>
    <w:rsid w:val="00700dd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700dd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4b484c"/>
    <w:pPr>
      <w:suppressAutoHyphens w:val="false"/>
      <w:spacing w:beforeAutospacing="1" w:after="119"/>
    </w:pPr>
    <w:rPr>
      <w:lang w:eastAsia="ru-RU"/>
    </w:rPr>
  </w:style>
  <w:style w:type="paragraph" w:styleId="1" w:customStyle="1">
    <w:name w:val="Основной текст1"/>
    <w:basedOn w:val="Normal"/>
    <w:link w:val="a6"/>
    <w:qFormat/>
    <w:rsid w:val="005e539c"/>
    <w:pPr>
      <w:shd w:val="clear" w:color="auto" w:fill="FFFFFF"/>
      <w:suppressAutoHyphens w:val="false"/>
      <w:spacing w:lineRule="exact" w:line="322" w:before="840" w:after="0"/>
      <w:jc w:val="both"/>
    </w:pPr>
    <w:rPr>
      <w:sz w:val="26"/>
      <w:szCs w:val="26"/>
      <w:lang w:eastAsia="en-US"/>
    </w:rPr>
  </w:style>
  <w:style w:type="paragraph" w:styleId="3" w:customStyle="1">
    <w:name w:val="Основной текст3"/>
    <w:basedOn w:val="Normal"/>
    <w:qFormat/>
    <w:rsid w:val="005e539c"/>
    <w:pPr>
      <w:widowControl w:val="false"/>
      <w:shd w:val="clear" w:color="auto" w:fill="FFFFFF"/>
      <w:suppressAutoHyphens w:val="false"/>
      <w:spacing w:before="0" w:after="3840"/>
    </w:pPr>
    <w:rPr>
      <w:color w:val="000000"/>
      <w:sz w:val="26"/>
      <w:szCs w:val="26"/>
      <w:lang w:eastAsia="ru-RU" w:bidi="ru-RU"/>
    </w:rPr>
  </w:style>
  <w:style w:type="paragraph" w:styleId="ConsPlusTitle" w:customStyle="1">
    <w:name w:val="ConsPlusTitle"/>
    <w:qFormat/>
    <w:rsid w:val="005e539c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rsid w:val="00ae1ac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uk-UA" w:eastAsia="uk-UA" w:bidi="ar-SA"/>
    </w:rPr>
  </w:style>
  <w:style w:type="paragraph" w:styleId="S1" w:customStyle="1">
    <w:name w:val="s_1"/>
    <w:basedOn w:val="Normal"/>
    <w:qFormat/>
    <w:rsid w:val="005420a4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Содержимое врезки"/>
    <w:basedOn w:val="Normal"/>
    <w:qFormat/>
    <w:rsid w:val="0000321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obileonline.garant.ru/document/redirect/186367/43" TargetMode="External"/><Relationship Id="rId4" Type="http://schemas.openxmlformats.org/officeDocument/2006/relationships/hyperlink" Target="http://mobileonline.garant.ru/document/redirect/23701958/4" TargetMode="External"/><Relationship Id="rId5" Type="http://schemas.openxmlformats.org/officeDocument/2006/relationships/hyperlink" Target="http://&#1074;&#1072;&#1089;&#1080;&#1083;&#1100;&#1077;&#1074;&#1082;&#1072;-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BC08-FA67-4E66-ACEA-22DB2A6C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LibreOffice/6.1.2.1$Windows_X86_64 LibreOffice_project/65905a128db06ba48db947242809d14d3f9a93fe</Application>
  <Pages>5</Pages>
  <Words>1402</Words>
  <Characters>10727</Characters>
  <CharactersWithSpaces>12142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2020-06-26T08:57:00Z</dcterms:created>
  <dc:creator>Бухгалтер</dc:creator>
  <dc:description/>
  <dc:language>ru-RU</dc:language>
  <cp:lastModifiedBy/>
  <cp:lastPrinted>2019-02-28T05:16:00Z</cp:lastPrinted>
  <dcterms:modified xsi:type="dcterms:W3CDTF">2020-07-28T15:09:01Z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